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ECD5" w14:textId="77777777" w:rsidR="009E361D" w:rsidRDefault="009E361D"/>
    <w:p w14:paraId="6AA09FC2" w14:textId="187756B9" w:rsidR="001D3125" w:rsidRDefault="009E361D" w:rsidP="001D3125">
      <w:pPr>
        <w:pStyle w:val="CRCCLHeadings"/>
        <w:jc w:val="center"/>
      </w:pPr>
      <w:r>
        <w:rPr>
          <w:noProof/>
        </w:rPr>
        <w:drawing>
          <wp:anchor distT="0" distB="0" distL="114300" distR="114300" simplePos="0" relativeHeight="251658240" behindDoc="0" locked="0" layoutInCell="1" allowOverlap="1" wp14:anchorId="65B10BA7" wp14:editId="4451E15C">
            <wp:simplePos x="0" y="0"/>
            <wp:positionH relativeFrom="leftMargin">
              <wp:posOffset>241861</wp:posOffset>
            </wp:positionH>
            <wp:positionV relativeFrom="page">
              <wp:posOffset>255270</wp:posOffset>
            </wp:positionV>
            <wp:extent cx="914400" cy="914400"/>
            <wp:effectExtent l="0" t="0" r="0" b="0"/>
            <wp:wrapSquare wrapText="bothSides"/>
            <wp:docPr id="1199041972"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41972"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1D3125">
        <w:t>Sample Lead and Lag Indicators</w:t>
      </w:r>
    </w:p>
    <w:p w14:paraId="73C1053A" w14:textId="77777777" w:rsidR="001D3125" w:rsidRPr="001D3125" w:rsidRDefault="001D3125" w:rsidP="001D3125">
      <w:pPr>
        <w:pStyle w:val="CRCCLHeadings"/>
        <w:jc w:val="center"/>
        <w:rPr>
          <w:sz w:val="24"/>
          <w:szCs w:val="24"/>
        </w:rPr>
      </w:pPr>
    </w:p>
    <w:p w14:paraId="4B2E8AA0" w14:textId="77777777" w:rsidR="001D3125" w:rsidRDefault="001D3125" w:rsidP="001D3125">
      <w:pPr>
        <w:pStyle w:val="CRCCLHeadings"/>
        <w:rPr>
          <w:rFonts w:ascii="Open Sans" w:hAnsi="Open Sans" w:cs="Open Sans"/>
          <w:sz w:val="24"/>
          <w:szCs w:val="24"/>
        </w:rPr>
      </w:pPr>
      <w:r w:rsidRPr="001D3125">
        <w:rPr>
          <w:rFonts w:ascii="Open Sans" w:hAnsi="Open Sans" w:cs="Open Sans"/>
          <w:sz w:val="24"/>
          <w:szCs w:val="24"/>
        </w:rPr>
        <w:t>To effectively gauge performance and progress towards goals in a rural community college, it's essential to track both lead and lag indicators across various departments. Lead indicators are predictive, offering insights into future outcomes, while lag indicators reflect past performance. Here are some examples for different departments:</w:t>
      </w:r>
    </w:p>
    <w:p w14:paraId="70AEC2DB" w14:textId="77777777" w:rsidR="001D3125" w:rsidRDefault="001D3125" w:rsidP="001D3125">
      <w:pPr>
        <w:pStyle w:val="CRCCLHeadings"/>
        <w:rPr>
          <w:rFonts w:ascii="Open Sans" w:hAnsi="Open Sans" w:cs="Open Sans"/>
          <w:sz w:val="24"/>
          <w:szCs w:val="24"/>
        </w:rPr>
      </w:pPr>
    </w:p>
    <w:p w14:paraId="006B6CF4" w14:textId="62E69304" w:rsidR="001D3125" w:rsidRDefault="001D3125" w:rsidP="001D3125">
      <w:pPr>
        <w:pStyle w:val="CRCCLHeadings"/>
        <w:numPr>
          <w:ilvl w:val="0"/>
          <w:numId w:val="6"/>
        </w:numPr>
        <w:rPr>
          <w:rFonts w:ascii="Open Sans" w:hAnsi="Open Sans" w:cs="Open Sans"/>
          <w:b/>
          <w:bCs/>
          <w:sz w:val="24"/>
          <w:szCs w:val="24"/>
        </w:rPr>
      </w:pPr>
      <w:r>
        <w:rPr>
          <w:rFonts w:ascii="Open Sans" w:hAnsi="Open Sans" w:cs="Open Sans"/>
          <w:b/>
          <w:bCs/>
          <w:sz w:val="24"/>
          <w:szCs w:val="24"/>
        </w:rPr>
        <w:t>Overall Institution Lag Indicators</w:t>
      </w:r>
    </w:p>
    <w:p w14:paraId="5CB4E759" w14:textId="2D6FC520"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Graduation Rates:</w:t>
      </w:r>
      <w:r w:rsidRPr="001D3125">
        <w:rPr>
          <w:rFonts w:ascii="Open Sans" w:eastAsia="Times New Roman" w:hAnsi="Open Sans" w:cs="Open Sans"/>
          <w:kern w:val="0"/>
          <w14:ligatures w14:val="none"/>
        </w:rPr>
        <w:t xml:space="preserve"> The percentage of students who complete their degree or certificate programs within a specified timeframe (e.g., 2, 3,</w:t>
      </w:r>
      <w:r>
        <w:rPr>
          <w:rFonts w:ascii="Open Sans" w:eastAsia="Times New Roman" w:hAnsi="Open Sans" w:cs="Open Sans"/>
          <w:kern w:val="0"/>
          <w14:ligatures w14:val="none"/>
        </w:rPr>
        <w:t xml:space="preserve"> 6</w:t>
      </w:r>
      <w:r w:rsidRPr="001D3125">
        <w:rPr>
          <w:rFonts w:ascii="Open Sans" w:eastAsia="Times New Roman" w:hAnsi="Open Sans" w:cs="Open Sans"/>
          <w:kern w:val="0"/>
          <w14:ligatures w14:val="none"/>
        </w:rPr>
        <w:t xml:space="preserve"> years). </w:t>
      </w:r>
    </w:p>
    <w:p w14:paraId="231C3480" w14:textId="33EA1C77"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Student Retention Rates:</w:t>
      </w:r>
      <w:r w:rsidRPr="001D3125">
        <w:rPr>
          <w:rFonts w:ascii="Open Sans" w:eastAsia="Times New Roman" w:hAnsi="Open Sans" w:cs="Open Sans"/>
          <w:kern w:val="0"/>
          <w14:ligatures w14:val="none"/>
        </w:rPr>
        <w:t xml:space="preserve"> The percentage of students who return for subsequent semesters or academic years. </w:t>
      </w:r>
    </w:p>
    <w:p w14:paraId="0C16CCF3" w14:textId="7F46A33E"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Transfer Rates to Four-Year Institutions:</w:t>
      </w:r>
      <w:r w:rsidRPr="001D3125">
        <w:rPr>
          <w:rFonts w:ascii="Open Sans" w:eastAsia="Times New Roman" w:hAnsi="Open Sans" w:cs="Open Sans"/>
          <w:kern w:val="0"/>
          <w14:ligatures w14:val="none"/>
        </w:rPr>
        <w:t xml:space="preserve"> The percentage of students who successfully transfer to bachelor's degree programs.</w:t>
      </w:r>
    </w:p>
    <w:p w14:paraId="61C12D77" w14:textId="05950D47"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Job Placement Rates of Graduates:</w:t>
      </w:r>
      <w:r w:rsidRPr="001D3125">
        <w:rPr>
          <w:rFonts w:ascii="Open Sans" w:eastAsia="Times New Roman" w:hAnsi="Open Sans" w:cs="Open Sans"/>
          <w:kern w:val="0"/>
          <w14:ligatures w14:val="none"/>
        </w:rPr>
        <w:t xml:space="preserve"> The percentage of graduates who are employed in their field of study or related areas within a certain period after graduation.</w:t>
      </w:r>
    </w:p>
    <w:p w14:paraId="75118C56" w14:textId="422B1A76"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Enrollment Trends:</w:t>
      </w:r>
      <w:r w:rsidRPr="001D3125">
        <w:rPr>
          <w:rFonts w:ascii="Open Sans" w:eastAsia="Times New Roman" w:hAnsi="Open Sans" w:cs="Open Sans"/>
          <w:kern w:val="0"/>
          <w14:ligatures w14:val="none"/>
        </w:rPr>
        <w:t xml:space="preserve"> Changes in the overall student population over time, as well as enrollment patterns in different programs. </w:t>
      </w:r>
    </w:p>
    <w:p w14:paraId="3D41C31E" w14:textId="0089B3CA"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Student Satisfaction Levels:</w:t>
      </w:r>
      <w:r w:rsidRPr="001D3125">
        <w:rPr>
          <w:rFonts w:ascii="Open Sans" w:eastAsia="Times New Roman" w:hAnsi="Open Sans" w:cs="Open Sans"/>
          <w:kern w:val="0"/>
          <w14:ligatures w14:val="none"/>
        </w:rPr>
        <w:t xml:space="preserve"> Measured through surveys, this indicates students' overall experience with the college's academic programs, student services, and campus environment. </w:t>
      </w:r>
    </w:p>
    <w:p w14:paraId="1EE723C0" w14:textId="797CD768" w:rsidR="001D3125" w:rsidRP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Loan Default Rates of Former Students:</w:t>
      </w:r>
      <w:r w:rsidRPr="001D3125">
        <w:rPr>
          <w:rFonts w:ascii="Open Sans" w:eastAsia="Times New Roman" w:hAnsi="Open Sans" w:cs="Open Sans"/>
          <w:kern w:val="0"/>
          <w14:ligatures w14:val="none"/>
        </w:rPr>
        <w:t xml:space="preserve"> This reflects the financial well-being of graduates and can be an indicator of the effectiveness of financial aid counseling and the value of the education received. </w:t>
      </w:r>
    </w:p>
    <w:p w14:paraId="4FCDAB69" w14:textId="77777777" w:rsidR="001D3125"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Financial Stability Metrics:</w:t>
      </w:r>
      <w:r w:rsidRPr="001D3125">
        <w:rPr>
          <w:rFonts w:ascii="Open Sans" w:eastAsia="Times New Roman" w:hAnsi="Open Sans" w:cs="Open Sans"/>
          <w:kern w:val="0"/>
          <w14:ligatures w14:val="none"/>
        </w:rPr>
        <w:t xml:space="preserve"> Indicators such as the college's budget surplus/deficit, endowment growth (if applicable), and revenue diversification reflect the institution's long-term viability. </w:t>
      </w:r>
    </w:p>
    <w:p w14:paraId="54E3457F" w14:textId="7750F4F6" w:rsidR="001D3125" w:rsidRPr="00671A04" w:rsidRDefault="001D3125" w:rsidP="001D3125">
      <w:pPr>
        <w:pStyle w:val="ListParagraph"/>
        <w:numPr>
          <w:ilvl w:val="0"/>
          <w:numId w:val="9"/>
        </w:numPr>
        <w:spacing w:after="0" w:line="240" w:lineRule="auto"/>
        <w:rPr>
          <w:rFonts w:ascii="Open Sans" w:eastAsia="Times New Roman" w:hAnsi="Open Sans" w:cs="Open Sans"/>
          <w:kern w:val="0"/>
          <w14:ligatures w14:val="none"/>
        </w:rPr>
      </w:pPr>
      <w:r w:rsidRPr="001D3125">
        <w:rPr>
          <w:rFonts w:ascii="Open Sans" w:eastAsia="Times New Roman" w:hAnsi="Open Sans" w:cs="Open Sans"/>
          <w:b/>
          <w:bCs/>
          <w:kern w:val="0"/>
          <w14:ligatures w14:val="none"/>
        </w:rPr>
        <w:t>Impact on the Local Community:</w:t>
      </w:r>
      <w:r w:rsidRPr="001D3125">
        <w:rPr>
          <w:rFonts w:ascii="Open Sans" w:eastAsia="Times New Roman" w:hAnsi="Open Sans" w:cs="Open Sans"/>
          <w:kern w:val="0"/>
          <w14:ligatures w14:val="none"/>
        </w:rPr>
        <w:t xml:space="preserve"> This can be measured through metrics like the number of graduates employed in the region, partnerships with local businesses, and participation in community development initiatives.</w:t>
      </w:r>
    </w:p>
    <w:p w14:paraId="5388E93A" w14:textId="21AF022E" w:rsidR="001D3125" w:rsidRPr="001D3125" w:rsidRDefault="001D3125" w:rsidP="001D3125">
      <w:pPr>
        <w:pStyle w:val="CRCCLHeadings"/>
        <w:numPr>
          <w:ilvl w:val="0"/>
          <w:numId w:val="6"/>
        </w:numPr>
        <w:rPr>
          <w:rFonts w:ascii="Open Sans" w:hAnsi="Open Sans" w:cs="Open Sans"/>
          <w:b/>
          <w:bCs/>
          <w:sz w:val="24"/>
          <w:szCs w:val="24"/>
        </w:rPr>
      </w:pPr>
      <w:r w:rsidRPr="001D3125">
        <w:rPr>
          <w:rFonts w:ascii="Open Sans" w:hAnsi="Open Sans" w:cs="Open Sans"/>
          <w:b/>
          <w:bCs/>
          <w:sz w:val="24"/>
          <w:szCs w:val="24"/>
        </w:rPr>
        <w:t>Academics/Instructional Affairs</w:t>
      </w:r>
    </w:p>
    <w:p w14:paraId="46682C63" w14:textId="77777777" w:rsidR="001D3125" w:rsidRPr="001D3125" w:rsidRDefault="001D3125" w:rsidP="001D3125">
      <w:pPr>
        <w:pStyle w:val="CRCCLHeadings"/>
        <w:numPr>
          <w:ilvl w:val="0"/>
          <w:numId w:val="1"/>
        </w:numPr>
        <w:rPr>
          <w:rFonts w:ascii="Open Sans" w:hAnsi="Open Sans" w:cs="Open Sans"/>
          <w:sz w:val="24"/>
          <w:szCs w:val="24"/>
        </w:rPr>
      </w:pPr>
      <w:r w:rsidRPr="001D3125">
        <w:rPr>
          <w:rFonts w:ascii="Open Sans" w:hAnsi="Open Sans" w:cs="Open Sans"/>
          <w:b/>
          <w:bCs/>
          <w:sz w:val="24"/>
          <w:szCs w:val="24"/>
        </w:rPr>
        <w:t>Lag Indicators:</w:t>
      </w:r>
    </w:p>
    <w:p w14:paraId="257BB566"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Course Completion Rates:</w:t>
      </w:r>
      <w:r w:rsidRPr="001D3125">
        <w:rPr>
          <w:rFonts w:ascii="Open Sans" w:hAnsi="Open Sans" w:cs="Open Sans"/>
          <w:sz w:val="24"/>
          <w:szCs w:val="24"/>
        </w:rPr>
        <w:t xml:space="preserve"> Percentage of students who successfully finish a course.</w:t>
      </w:r>
    </w:p>
    <w:p w14:paraId="15EABEF5"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lastRenderedPageBreak/>
        <w:t>Graduation Rates:</w:t>
      </w:r>
      <w:r w:rsidRPr="001D3125">
        <w:rPr>
          <w:rFonts w:ascii="Open Sans" w:hAnsi="Open Sans" w:cs="Open Sans"/>
          <w:sz w:val="24"/>
          <w:szCs w:val="24"/>
        </w:rPr>
        <w:t xml:space="preserve"> Percentage of students who complete their degree or certificate programs within a specific timeframe.</w:t>
      </w:r>
    </w:p>
    <w:p w14:paraId="69AC799E"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Student Retention Rates:</w:t>
      </w:r>
      <w:r w:rsidRPr="001D3125">
        <w:rPr>
          <w:rFonts w:ascii="Open Sans" w:hAnsi="Open Sans" w:cs="Open Sans"/>
          <w:sz w:val="24"/>
          <w:szCs w:val="24"/>
        </w:rPr>
        <w:t xml:space="preserve"> Percentage of students who return for subsequent semesters or academic years.</w:t>
      </w:r>
    </w:p>
    <w:p w14:paraId="18C2A095"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Transfer Rates to Four-Year Institutions:</w:t>
      </w:r>
      <w:r w:rsidRPr="001D3125">
        <w:rPr>
          <w:rFonts w:ascii="Open Sans" w:hAnsi="Open Sans" w:cs="Open Sans"/>
          <w:sz w:val="24"/>
          <w:szCs w:val="24"/>
        </w:rPr>
        <w:t xml:space="preserve"> Number or percentage of students who successfully transfer to bachelor's degree programs.</w:t>
      </w:r>
    </w:p>
    <w:p w14:paraId="7D97231B"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Program Satisfaction Rates (Student Surveys):</w:t>
      </w:r>
      <w:r w:rsidRPr="001D3125">
        <w:rPr>
          <w:rFonts w:ascii="Open Sans" w:hAnsi="Open Sans" w:cs="Open Sans"/>
          <w:sz w:val="24"/>
          <w:szCs w:val="24"/>
        </w:rPr>
        <w:t xml:space="preserve"> Overall satisfaction levels of students with their academic programs.</w:t>
      </w:r>
    </w:p>
    <w:p w14:paraId="2A2ABEBE"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Job Placement Rates of Graduates:</w:t>
      </w:r>
      <w:r w:rsidRPr="001D3125">
        <w:rPr>
          <w:rFonts w:ascii="Open Sans" w:hAnsi="Open Sans" w:cs="Open Sans"/>
          <w:sz w:val="24"/>
          <w:szCs w:val="24"/>
        </w:rPr>
        <w:t xml:space="preserve"> Percentage of graduates employed in their field of study within a certain period after graduation.</w:t>
      </w:r>
    </w:p>
    <w:p w14:paraId="44E44348"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Passing Rates on Licensure/Certification Exams:</w:t>
      </w:r>
      <w:r w:rsidRPr="001D3125">
        <w:rPr>
          <w:rFonts w:ascii="Open Sans" w:hAnsi="Open Sans" w:cs="Open Sans"/>
          <w:sz w:val="24"/>
          <w:szCs w:val="24"/>
        </w:rPr>
        <w:t xml:space="preserve"> For programs leading to professional credentials.</w:t>
      </w:r>
    </w:p>
    <w:p w14:paraId="03F60D35" w14:textId="77777777" w:rsidR="001D3125" w:rsidRPr="001D3125" w:rsidRDefault="001D3125" w:rsidP="001D3125">
      <w:pPr>
        <w:pStyle w:val="CRCCLHeadings"/>
        <w:numPr>
          <w:ilvl w:val="0"/>
          <w:numId w:val="1"/>
        </w:numPr>
        <w:rPr>
          <w:rFonts w:ascii="Open Sans" w:hAnsi="Open Sans" w:cs="Open Sans"/>
          <w:sz w:val="24"/>
          <w:szCs w:val="24"/>
        </w:rPr>
      </w:pPr>
      <w:r w:rsidRPr="001D3125">
        <w:rPr>
          <w:rFonts w:ascii="Open Sans" w:hAnsi="Open Sans" w:cs="Open Sans"/>
          <w:b/>
          <w:bCs/>
          <w:sz w:val="24"/>
          <w:szCs w:val="24"/>
        </w:rPr>
        <w:t>Lead Indicators:</w:t>
      </w:r>
    </w:p>
    <w:p w14:paraId="11655AE3" w14:textId="489A1460" w:rsidR="001D3125" w:rsidRPr="001D3125" w:rsidRDefault="00671A04" w:rsidP="001D3125">
      <w:pPr>
        <w:pStyle w:val="CRCCLHeadings"/>
        <w:numPr>
          <w:ilvl w:val="1"/>
          <w:numId w:val="1"/>
        </w:numPr>
        <w:rPr>
          <w:rFonts w:ascii="Open Sans" w:hAnsi="Open Sans" w:cs="Open Sans"/>
          <w:sz w:val="24"/>
          <w:szCs w:val="24"/>
        </w:rPr>
      </w:pPr>
      <w:r>
        <w:rPr>
          <w:rFonts w:ascii="Open Sans" w:hAnsi="Open Sans" w:cs="Open Sans"/>
          <w:b/>
          <w:bCs/>
          <w:sz w:val="24"/>
          <w:szCs w:val="24"/>
        </w:rPr>
        <w:t>Length of time to receive feedback</w:t>
      </w:r>
      <w:r w:rsidR="001D3125" w:rsidRPr="001D3125">
        <w:rPr>
          <w:rFonts w:ascii="Open Sans" w:hAnsi="Open Sans" w:cs="Open Sans"/>
          <w:b/>
          <w:bCs/>
          <w:sz w:val="24"/>
          <w:szCs w:val="24"/>
        </w:rPr>
        <w:t>:</w:t>
      </w:r>
      <w:r w:rsidR="001D3125" w:rsidRPr="001D3125">
        <w:rPr>
          <w:rFonts w:ascii="Open Sans" w:hAnsi="Open Sans" w:cs="Open Sans"/>
          <w:sz w:val="24"/>
          <w:szCs w:val="24"/>
        </w:rPr>
        <w:t xml:space="preserve"> </w:t>
      </w:r>
      <w:r>
        <w:rPr>
          <w:rFonts w:ascii="Open Sans" w:hAnsi="Open Sans" w:cs="Open Sans"/>
          <w:sz w:val="24"/>
          <w:szCs w:val="24"/>
        </w:rPr>
        <w:t>The length of time it takes to respond to student questions and provide grade feedback.</w:t>
      </w:r>
    </w:p>
    <w:p w14:paraId="662F409F" w14:textId="77777777" w:rsidR="001D3125" w:rsidRPr="001D3125" w:rsidRDefault="001D3125" w:rsidP="001D3125">
      <w:pPr>
        <w:pStyle w:val="CRCCLHeadings"/>
        <w:numPr>
          <w:ilvl w:val="1"/>
          <w:numId w:val="1"/>
        </w:numPr>
        <w:rPr>
          <w:rFonts w:ascii="Open Sans" w:hAnsi="Open Sans" w:cs="Open Sans"/>
          <w:sz w:val="24"/>
          <w:szCs w:val="24"/>
        </w:rPr>
      </w:pPr>
      <w:r w:rsidRPr="001D3125">
        <w:rPr>
          <w:rFonts w:ascii="Open Sans" w:hAnsi="Open Sans" w:cs="Open Sans"/>
          <w:b/>
          <w:bCs/>
          <w:sz w:val="24"/>
          <w:szCs w:val="24"/>
        </w:rPr>
        <w:t>Faculty Feedback and Early Intervention:</w:t>
      </w:r>
      <w:r w:rsidRPr="001D3125">
        <w:rPr>
          <w:rFonts w:ascii="Open Sans" w:hAnsi="Open Sans" w:cs="Open Sans"/>
          <w:sz w:val="24"/>
          <w:szCs w:val="24"/>
        </w:rPr>
        <w:t xml:space="preserve"> Documented instances of faculty reaching out to struggling students.</w:t>
      </w:r>
    </w:p>
    <w:p w14:paraId="3DCEF937" w14:textId="0BBF2062" w:rsidR="001D3125" w:rsidRPr="001D3125" w:rsidRDefault="00671A04" w:rsidP="001D3125">
      <w:pPr>
        <w:pStyle w:val="CRCCLHeadings"/>
        <w:numPr>
          <w:ilvl w:val="1"/>
          <w:numId w:val="1"/>
        </w:numPr>
        <w:rPr>
          <w:rFonts w:ascii="Open Sans" w:hAnsi="Open Sans" w:cs="Open Sans"/>
          <w:sz w:val="24"/>
          <w:szCs w:val="24"/>
        </w:rPr>
      </w:pPr>
      <w:r>
        <w:rPr>
          <w:rFonts w:ascii="Open Sans" w:hAnsi="Open Sans" w:cs="Open Sans"/>
          <w:b/>
          <w:bCs/>
          <w:sz w:val="24"/>
          <w:szCs w:val="24"/>
        </w:rPr>
        <w:t>Courses converted to Open Educational Resources/Universal Design</w:t>
      </w:r>
      <w:r w:rsidR="001D3125" w:rsidRPr="001D3125">
        <w:rPr>
          <w:rFonts w:ascii="Open Sans" w:hAnsi="Open Sans" w:cs="Open Sans"/>
          <w:b/>
          <w:bCs/>
          <w:sz w:val="24"/>
          <w:szCs w:val="24"/>
        </w:rPr>
        <w:t>:</w:t>
      </w:r>
      <w:r w:rsidR="001D3125" w:rsidRPr="001D3125">
        <w:rPr>
          <w:rFonts w:ascii="Open Sans" w:hAnsi="Open Sans" w:cs="Open Sans"/>
          <w:sz w:val="24"/>
          <w:szCs w:val="24"/>
        </w:rPr>
        <w:t xml:space="preserve"> Number </w:t>
      </w:r>
      <w:r>
        <w:rPr>
          <w:rFonts w:ascii="Open Sans" w:hAnsi="Open Sans" w:cs="Open Sans"/>
          <w:sz w:val="24"/>
          <w:szCs w:val="24"/>
        </w:rPr>
        <w:t>of courses with improvements made to address access</w:t>
      </w:r>
      <w:r w:rsidR="001D3125" w:rsidRPr="001D3125">
        <w:rPr>
          <w:rFonts w:ascii="Open Sans" w:hAnsi="Open Sans" w:cs="Open Sans"/>
          <w:sz w:val="24"/>
          <w:szCs w:val="24"/>
        </w:rPr>
        <w:t>.</w:t>
      </w:r>
    </w:p>
    <w:p w14:paraId="483B8A92" w14:textId="583A4DFB" w:rsidR="001D3125" w:rsidRPr="001D3125" w:rsidRDefault="00671A04" w:rsidP="001D3125">
      <w:pPr>
        <w:pStyle w:val="CRCCLHeadings"/>
        <w:numPr>
          <w:ilvl w:val="1"/>
          <w:numId w:val="1"/>
        </w:numPr>
        <w:rPr>
          <w:rFonts w:ascii="Open Sans" w:hAnsi="Open Sans" w:cs="Open Sans"/>
          <w:sz w:val="24"/>
          <w:szCs w:val="24"/>
        </w:rPr>
      </w:pPr>
      <w:r>
        <w:rPr>
          <w:rFonts w:ascii="Open Sans" w:hAnsi="Open Sans" w:cs="Open Sans"/>
          <w:b/>
          <w:bCs/>
          <w:sz w:val="24"/>
          <w:szCs w:val="24"/>
        </w:rPr>
        <w:t xml:space="preserve">Time spent </w:t>
      </w:r>
      <w:proofErr w:type="gramStart"/>
      <w:r>
        <w:rPr>
          <w:rFonts w:ascii="Open Sans" w:hAnsi="Open Sans" w:cs="Open Sans"/>
          <w:b/>
          <w:bCs/>
          <w:sz w:val="24"/>
          <w:szCs w:val="24"/>
        </w:rPr>
        <w:t>in</w:t>
      </w:r>
      <w:proofErr w:type="gramEnd"/>
      <w:r>
        <w:rPr>
          <w:rFonts w:ascii="Open Sans" w:hAnsi="Open Sans" w:cs="Open Sans"/>
          <w:b/>
          <w:bCs/>
          <w:sz w:val="24"/>
          <w:szCs w:val="24"/>
        </w:rPr>
        <w:t xml:space="preserve"> staff development: </w:t>
      </w:r>
      <w:r>
        <w:rPr>
          <w:rFonts w:ascii="Open Sans" w:hAnsi="Open Sans" w:cs="Open Sans"/>
          <w:sz w:val="24"/>
          <w:szCs w:val="24"/>
        </w:rPr>
        <w:t>Staff efforts to improve the teaching and learning in their classrooms.</w:t>
      </w:r>
    </w:p>
    <w:p w14:paraId="41FABF09" w14:textId="4C6E5A55" w:rsidR="001D3125" w:rsidRPr="001D3125" w:rsidRDefault="001D3125" w:rsidP="00671A04">
      <w:pPr>
        <w:pStyle w:val="CRCCLHeadings"/>
        <w:numPr>
          <w:ilvl w:val="0"/>
          <w:numId w:val="6"/>
        </w:numPr>
        <w:rPr>
          <w:rFonts w:ascii="Open Sans" w:hAnsi="Open Sans" w:cs="Open Sans"/>
          <w:b/>
          <w:bCs/>
          <w:sz w:val="24"/>
          <w:szCs w:val="24"/>
        </w:rPr>
      </w:pPr>
      <w:r w:rsidRPr="001D3125">
        <w:rPr>
          <w:rFonts w:ascii="Open Sans" w:hAnsi="Open Sans" w:cs="Open Sans"/>
          <w:b/>
          <w:bCs/>
          <w:sz w:val="24"/>
          <w:szCs w:val="24"/>
        </w:rPr>
        <w:t>Student Services</w:t>
      </w:r>
    </w:p>
    <w:p w14:paraId="4B7FA59E" w14:textId="77777777" w:rsidR="001D3125" w:rsidRPr="001D3125" w:rsidRDefault="001D3125" w:rsidP="001D3125">
      <w:pPr>
        <w:pStyle w:val="CRCCLHeadings"/>
        <w:numPr>
          <w:ilvl w:val="0"/>
          <w:numId w:val="2"/>
        </w:numPr>
        <w:rPr>
          <w:rFonts w:ascii="Open Sans" w:hAnsi="Open Sans" w:cs="Open Sans"/>
          <w:sz w:val="24"/>
          <w:szCs w:val="24"/>
        </w:rPr>
      </w:pPr>
      <w:r w:rsidRPr="001D3125">
        <w:rPr>
          <w:rFonts w:ascii="Open Sans" w:hAnsi="Open Sans" w:cs="Open Sans"/>
          <w:b/>
          <w:bCs/>
          <w:sz w:val="24"/>
          <w:szCs w:val="24"/>
        </w:rPr>
        <w:t>Lag Indicators:</w:t>
      </w:r>
    </w:p>
    <w:p w14:paraId="7B018712"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Student Satisfaction with Services (Surveys):</w:t>
      </w:r>
      <w:r w:rsidRPr="001D3125">
        <w:rPr>
          <w:rFonts w:ascii="Open Sans" w:hAnsi="Open Sans" w:cs="Open Sans"/>
          <w:sz w:val="24"/>
          <w:szCs w:val="24"/>
        </w:rPr>
        <w:t xml:space="preserve"> Overall satisfaction with advising, counseling, financial aid, etc.</w:t>
      </w:r>
    </w:p>
    <w:p w14:paraId="04A7B43B"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Usage Rates of Key Services:</w:t>
      </w:r>
      <w:r w:rsidRPr="001D3125">
        <w:rPr>
          <w:rFonts w:ascii="Open Sans" w:hAnsi="Open Sans" w:cs="Open Sans"/>
          <w:sz w:val="24"/>
          <w:szCs w:val="24"/>
        </w:rPr>
        <w:t xml:space="preserve"> Number of students utilizing counseling, disability services, career services, etc.</w:t>
      </w:r>
    </w:p>
    <w:p w14:paraId="30B9E41F"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Student Grievance/Complaint Resolution Time:</w:t>
      </w:r>
      <w:r w:rsidRPr="001D3125">
        <w:rPr>
          <w:rFonts w:ascii="Open Sans" w:hAnsi="Open Sans" w:cs="Open Sans"/>
          <w:sz w:val="24"/>
          <w:szCs w:val="24"/>
        </w:rPr>
        <w:t xml:space="preserve"> Efficiency in addressing and resolving student issues.</w:t>
      </w:r>
    </w:p>
    <w:p w14:paraId="667144F0"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Persistence Rates of Students Utilizing Support Services:</w:t>
      </w:r>
      <w:r w:rsidRPr="001D3125">
        <w:rPr>
          <w:rFonts w:ascii="Open Sans" w:hAnsi="Open Sans" w:cs="Open Sans"/>
          <w:sz w:val="24"/>
          <w:szCs w:val="24"/>
        </w:rPr>
        <w:t xml:space="preserve"> Comparing retention of students who use services versus those who don't.</w:t>
      </w:r>
    </w:p>
    <w:p w14:paraId="226E9690"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Loan Default Rates of Former Students:</w:t>
      </w:r>
      <w:r w:rsidRPr="001D3125">
        <w:rPr>
          <w:rFonts w:ascii="Open Sans" w:hAnsi="Open Sans" w:cs="Open Sans"/>
          <w:sz w:val="24"/>
          <w:szCs w:val="24"/>
        </w:rPr>
        <w:t xml:space="preserve"> Reflects the financial well-being and preparedness of graduates, potentially linked to financial aid counseling.</w:t>
      </w:r>
    </w:p>
    <w:p w14:paraId="0792D0F5" w14:textId="77777777" w:rsidR="001D3125" w:rsidRPr="001D3125" w:rsidRDefault="001D3125" w:rsidP="001D3125">
      <w:pPr>
        <w:pStyle w:val="CRCCLHeadings"/>
        <w:numPr>
          <w:ilvl w:val="0"/>
          <w:numId w:val="2"/>
        </w:numPr>
        <w:rPr>
          <w:rFonts w:ascii="Open Sans" w:hAnsi="Open Sans" w:cs="Open Sans"/>
          <w:sz w:val="24"/>
          <w:szCs w:val="24"/>
        </w:rPr>
      </w:pPr>
      <w:r w:rsidRPr="001D3125">
        <w:rPr>
          <w:rFonts w:ascii="Open Sans" w:hAnsi="Open Sans" w:cs="Open Sans"/>
          <w:b/>
          <w:bCs/>
          <w:sz w:val="24"/>
          <w:szCs w:val="24"/>
        </w:rPr>
        <w:lastRenderedPageBreak/>
        <w:t>Lead Indicators:</w:t>
      </w:r>
    </w:p>
    <w:p w14:paraId="2666F4C9"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Number of Student Appointments Scheduled and Kept (Advising, Counseling, Career Services):</w:t>
      </w:r>
      <w:r w:rsidRPr="001D3125">
        <w:rPr>
          <w:rFonts w:ascii="Open Sans" w:hAnsi="Open Sans" w:cs="Open Sans"/>
          <w:sz w:val="24"/>
          <w:szCs w:val="24"/>
        </w:rPr>
        <w:t xml:space="preserve"> Indicates proactive engagement with support resources.</w:t>
      </w:r>
    </w:p>
    <w:p w14:paraId="56C99C2F"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Participation Rates in Workshops and Information Sessions:</w:t>
      </w:r>
      <w:r w:rsidRPr="001D3125">
        <w:rPr>
          <w:rFonts w:ascii="Open Sans" w:hAnsi="Open Sans" w:cs="Open Sans"/>
          <w:sz w:val="24"/>
          <w:szCs w:val="24"/>
        </w:rPr>
        <w:t xml:space="preserve"> Attendance at financial aid workshops, career development seminars, etc.</w:t>
      </w:r>
    </w:p>
    <w:p w14:paraId="0F7996C3"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Early Identification of At-Risk Students:</w:t>
      </w:r>
      <w:r w:rsidRPr="001D3125">
        <w:rPr>
          <w:rFonts w:ascii="Open Sans" w:hAnsi="Open Sans" w:cs="Open Sans"/>
          <w:sz w:val="24"/>
          <w:szCs w:val="24"/>
        </w:rPr>
        <w:t xml:space="preserve"> Utilizing predictive analytics or faculty referrals to identify students needing support.</w:t>
      </w:r>
    </w:p>
    <w:p w14:paraId="46996898"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Proactive Outreach to Students:</w:t>
      </w:r>
      <w:r w:rsidRPr="001D3125">
        <w:rPr>
          <w:rFonts w:ascii="Open Sans" w:hAnsi="Open Sans" w:cs="Open Sans"/>
          <w:sz w:val="24"/>
          <w:szCs w:val="24"/>
        </w:rPr>
        <w:t xml:space="preserve"> Number of times student services staff initiate contact with students (e.g., check-ins, reminders).</w:t>
      </w:r>
    </w:p>
    <w:p w14:paraId="064E5A13"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Timeliness of Financial Aid Awarding and Disbursement:</w:t>
      </w:r>
      <w:r w:rsidRPr="001D3125">
        <w:rPr>
          <w:rFonts w:ascii="Open Sans" w:hAnsi="Open Sans" w:cs="Open Sans"/>
          <w:sz w:val="24"/>
          <w:szCs w:val="24"/>
        </w:rPr>
        <w:t xml:space="preserve"> Early access to financial aid can improve student retention.</w:t>
      </w:r>
    </w:p>
    <w:p w14:paraId="06E24FFD" w14:textId="77777777" w:rsidR="001D3125" w:rsidRPr="001D3125" w:rsidRDefault="001D3125" w:rsidP="001D3125">
      <w:pPr>
        <w:pStyle w:val="CRCCLHeadings"/>
        <w:numPr>
          <w:ilvl w:val="1"/>
          <w:numId w:val="2"/>
        </w:numPr>
        <w:rPr>
          <w:rFonts w:ascii="Open Sans" w:hAnsi="Open Sans" w:cs="Open Sans"/>
          <w:sz w:val="24"/>
          <w:szCs w:val="24"/>
        </w:rPr>
      </w:pPr>
      <w:r w:rsidRPr="001D3125">
        <w:rPr>
          <w:rFonts w:ascii="Open Sans" w:hAnsi="Open Sans" w:cs="Open Sans"/>
          <w:b/>
          <w:bCs/>
          <w:sz w:val="24"/>
          <w:szCs w:val="24"/>
        </w:rPr>
        <w:t>Student Engagement in Orientation Programs:</w:t>
      </w:r>
      <w:r w:rsidRPr="001D3125">
        <w:rPr>
          <w:rFonts w:ascii="Open Sans" w:hAnsi="Open Sans" w:cs="Open Sans"/>
          <w:sz w:val="24"/>
          <w:szCs w:val="24"/>
        </w:rPr>
        <w:t xml:space="preserve"> Active participation in orientation can set students up for success.</w:t>
      </w:r>
    </w:p>
    <w:p w14:paraId="33236285" w14:textId="3077F7AF" w:rsidR="001D3125" w:rsidRPr="001D3125" w:rsidRDefault="001D3125" w:rsidP="00671A04">
      <w:pPr>
        <w:pStyle w:val="CRCCLHeadings"/>
        <w:numPr>
          <w:ilvl w:val="0"/>
          <w:numId w:val="6"/>
        </w:numPr>
        <w:rPr>
          <w:rFonts w:ascii="Open Sans" w:hAnsi="Open Sans" w:cs="Open Sans"/>
          <w:b/>
          <w:bCs/>
          <w:sz w:val="24"/>
          <w:szCs w:val="24"/>
        </w:rPr>
      </w:pPr>
      <w:r w:rsidRPr="001D3125">
        <w:rPr>
          <w:rFonts w:ascii="Open Sans" w:hAnsi="Open Sans" w:cs="Open Sans"/>
          <w:b/>
          <w:bCs/>
          <w:sz w:val="24"/>
          <w:szCs w:val="24"/>
        </w:rPr>
        <w:t>Enrollment Management</w:t>
      </w:r>
    </w:p>
    <w:p w14:paraId="6F875856" w14:textId="77777777" w:rsidR="001D3125" w:rsidRPr="001D3125" w:rsidRDefault="001D3125" w:rsidP="001D3125">
      <w:pPr>
        <w:pStyle w:val="CRCCLHeadings"/>
        <w:numPr>
          <w:ilvl w:val="0"/>
          <w:numId w:val="3"/>
        </w:numPr>
        <w:rPr>
          <w:rFonts w:ascii="Open Sans" w:hAnsi="Open Sans" w:cs="Open Sans"/>
          <w:sz w:val="24"/>
          <w:szCs w:val="24"/>
        </w:rPr>
      </w:pPr>
      <w:r w:rsidRPr="001D3125">
        <w:rPr>
          <w:rFonts w:ascii="Open Sans" w:hAnsi="Open Sans" w:cs="Open Sans"/>
          <w:b/>
          <w:bCs/>
          <w:sz w:val="24"/>
          <w:szCs w:val="24"/>
        </w:rPr>
        <w:t>Lag Indicators:</w:t>
      </w:r>
    </w:p>
    <w:p w14:paraId="3654DB25" w14:textId="77777777" w:rsidR="001D3125" w:rsidRP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Total Enrollment Numbers:</w:t>
      </w:r>
      <w:r w:rsidRPr="001D3125">
        <w:rPr>
          <w:rFonts w:ascii="Open Sans" w:hAnsi="Open Sans" w:cs="Open Sans"/>
          <w:sz w:val="24"/>
          <w:szCs w:val="24"/>
        </w:rPr>
        <w:t xml:space="preserve"> Overall student population.</w:t>
      </w:r>
    </w:p>
    <w:p w14:paraId="7067F6AD" w14:textId="77777777" w:rsidR="001D3125" w:rsidRP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Yield Rate (Percentage of Accepted Students Who Enroll):</w:t>
      </w:r>
      <w:r w:rsidRPr="001D3125">
        <w:rPr>
          <w:rFonts w:ascii="Open Sans" w:hAnsi="Open Sans" w:cs="Open Sans"/>
          <w:sz w:val="24"/>
          <w:szCs w:val="24"/>
        </w:rPr>
        <w:t xml:space="preserve"> Effectiveness of recruitment efforts.</w:t>
      </w:r>
    </w:p>
    <w:p w14:paraId="5F6F3BB0" w14:textId="56F5F086" w:rsidR="001D3125" w:rsidRP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Enrollment by Demographic</w:t>
      </w:r>
      <w:r>
        <w:rPr>
          <w:rFonts w:ascii="Open Sans" w:hAnsi="Open Sans" w:cs="Open Sans"/>
          <w:b/>
          <w:bCs/>
          <w:sz w:val="24"/>
          <w:szCs w:val="24"/>
        </w:rPr>
        <w:t>/Program</w:t>
      </w:r>
      <w:r w:rsidRPr="001D3125">
        <w:rPr>
          <w:rFonts w:ascii="Open Sans" w:hAnsi="Open Sans" w:cs="Open Sans"/>
          <w:b/>
          <w:bCs/>
          <w:sz w:val="24"/>
          <w:szCs w:val="24"/>
        </w:rPr>
        <w:t>:</w:t>
      </w:r>
      <w:r w:rsidRPr="001D3125">
        <w:rPr>
          <w:rFonts w:ascii="Open Sans" w:hAnsi="Open Sans" w:cs="Open Sans"/>
          <w:sz w:val="24"/>
          <w:szCs w:val="24"/>
        </w:rPr>
        <w:t xml:space="preserve"> Reflects the diversity and program popularity.</w:t>
      </w:r>
    </w:p>
    <w:p w14:paraId="4951BE0E" w14:textId="77777777" w:rsid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First-Year Retention Rates:</w:t>
      </w:r>
      <w:r w:rsidRPr="001D3125">
        <w:rPr>
          <w:rFonts w:ascii="Open Sans" w:hAnsi="Open Sans" w:cs="Open Sans"/>
          <w:sz w:val="24"/>
          <w:szCs w:val="24"/>
        </w:rPr>
        <w:t xml:space="preserve"> Success in retaining the initial cohort of students.</w:t>
      </w:r>
    </w:p>
    <w:p w14:paraId="49E3B487" w14:textId="6B4198EA" w:rsidR="001D3125" w:rsidRPr="001D3125" w:rsidRDefault="001D3125" w:rsidP="001D3125">
      <w:pPr>
        <w:pStyle w:val="CRCCLHeadings"/>
        <w:numPr>
          <w:ilvl w:val="1"/>
          <w:numId w:val="3"/>
        </w:numPr>
        <w:rPr>
          <w:rFonts w:ascii="Open Sans" w:hAnsi="Open Sans" w:cs="Open Sans"/>
          <w:sz w:val="24"/>
          <w:szCs w:val="24"/>
        </w:rPr>
      </w:pPr>
      <w:r>
        <w:rPr>
          <w:rFonts w:ascii="Open Sans" w:hAnsi="Open Sans" w:cs="Open Sans"/>
          <w:b/>
          <w:bCs/>
          <w:sz w:val="24"/>
          <w:szCs w:val="24"/>
        </w:rPr>
        <w:t xml:space="preserve">Pell Grants Awarded/% of Student Receiving Grant Aid: </w:t>
      </w:r>
      <w:r>
        <w:rPr>
          <w:rFonts w:ascii="Open Sans" w:hAnsi="Open Sans" w:cs="Open Sans"/>
          <w:sz w:val="24"/>
          <w:szCs w:val="24"/>
        </w:rPr>
        <w:t>These numbers can show if you are doing good work in reaching and assisting students with need.</w:t>
      </w:r>
    </w:p>
    <w:p w14:paraId="294EF913" w14:textId="5CD07D94" w:rsidR="001D3125" w:rsidRPr="001D3125" w:rsidRDefault="001D3125" w:rsidP="00194ECE">
      <w:pPr>
        <w:pStyle w:val="CRCCLHeadings"/>
        <w:numPr>
          <w:ilvl w:val="0"/>
          <w:numId w:val="3"/>
        </w:numPr>
        <w:rPr>
          <w:rFonts w:ascii="Open Sans" w:hAnsi="Open Sans" w:cs="Open Sans"/>
          <w:sz w:val="24"/>
          <w:szCs w:val="24"/>
        </w:rPr>
      </w:pPr>
      <w:r w:rsidRPr="001D3125">
        <w:rPr>
          <w:rFonts w:ascii="Open Sans" w:hAnsi="Open Sans" w:cs="Open Sans"/>
          <w:b/>
          <w:bCs/>
          <w:sz w:val="24"/>
          <w:szCs w:val="24"/>
        </w:rPr>
        <w:t>Lead Indicators:</w:t>
      </w:r>
    </w:p>
    <w:p w14:paraId="55B616F5" w14:textId="77777777" w:rsidR="001D3125" w:rsidRP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Number of Campus Visits and Information Session Attendees:</w:t>
      </w:r>
      <w:r w:rsidRPr="001D3125">
        <w:rPr>
          <w:rFonts w:ascii="Open Sans" w:hAnsi="Open Sans" w:cs="Open Sans"/>
          <w:sz w:val="24"/>
          <w:szCs w:val="24"/>
        </w:rPr>
        <w:t xml:space="preserve"> Interest levels of prospective students.</w:t>
      </w:r>
    </w:p>
    <w:p w14:paraId="7C565F8B" w14:textId="77777777" w:rsid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High School Outreach Activities (e.g., Visits, College Fairs):</w:t>
      </w:r>
      <w:r w:rsidRPr="001D3125">
        <w:rPr>
          <w:rFonts w:ascii="Open Sans" w:hAnsi="Open Sans" w:cs="Open Sans"/>
          <w:sz w:val="24"/>
          <w:szCs w:val="24"/>
        </w:rPr>
        <w:t xml:space="preserve"> Efforts to build the applicant pool.</w:t>
      </w:r>
    </w:p>
    <w:p w14:paraId="3A022F0C" w14:textId="70082527" w:rsidR="00194ECE" w:rsidRPr="001D3125" w:rsidRDefault="00194ECE"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Proactive Outreach to Students:</w:t>
      </w:r>
      <w:r>
        <w:rPr>
          <w:rFonts w:ascii="Open Sans" w:hAnsi="Open Sans" w:cs="Open Sans"/>
          <w:b/>
          <w:bCs/>
          <w:sz w:val="24"/>
          <w:szCs w:val="24"/>
        </w:rPr>
        <w:t xml:space="preserve"> </w:t>
      </w:r>
      <w:r w:rsidRPr="001D3125">
        <w:rPr>
          <w:rFonts w:ascii="Open Sans" w:hAnsi="Open Sans" w:cs="Open Sans"/>
          <w:sz w:val="24"/>
          <w:szCs w:val="24"/>
        </w:rPr>
        <w:t xml:space="preserve">Number of times </w:t>
      </w:r>
      <w:r>
        <w:rPr>
          <w:rFonts w:ascii="Open Sans" w:hAnsi="Open Sans" w:cs="Open Sans"/>
          <w:sz w:val="24"/>
          <w:szCs w:val="24"/>
        </w:rPr>
        <w:t>enrollment management</w:t>
      </w:r>
      <w:r w:rsidRPr="001D3125">
        <w:rPr>
          <w:rFonts w:ascii="Open Sans" w:hAnsi="Open Sans" w:cs="Open Sans"/>
          <w:sz w:val="24"/>
          <w:szCs w:val="24"/>
        </w:rPr>
        <w:t xml:space="preserve"> staff initiate contact with students.</w:t>
      </w:r>
    </w:p>
    <w:p w14:paraId="63D7BCDC" w14:textId="77777777" w:rsidR="001D3125" w:rsidRPr="001D3125" w:rsidRDefault="001D3125" w:rsidP="001D3125">
      <w:pPr>
        <w:pStyle w:val="CRCCLHeadings"/>
        <w:numPr>
          <w:ilvl w:val="1"/>
          <w:numId w:val="3"/>
        </w:numPr>
        <w:rPr>
          <w:rFonts w:ascii="Open Sans" w:hAnsi="Open Sans" w:cs="Open Sans"/>
          <w:sz w:val="24"/>
          <w:szCs w:val="24"/>
        </w:rPr>
      </w:pPr>
      <w:r w:rsidRPr="001D3125">
        <w:rPr>
          <w:rFonts w:ascii="Open Sans" w:hAnsi="Open Sans" w:cs="Open Sans"/>
          <w:b/>
          <w:bCs/>
          <w:sz w:val="24"/>
          <w:szCs w:val="24"/>
        </w:rPr>
        <w:t>Financial Aid Application Rates:</w:t>
      </w:r>
      <w:r w:rsidRPr="001D3125">
        <w:rPr>
          <w:rFonts w:ascii="Open Sans" w:hAnsi="Open Sans" w:cs="Open Sans"/>
          <w:sz w:val="24"/>
          <w:szCs w:val="24"/>
        </w:rPr>
        <w:t xml:space="preserve"> Indicator of students who are serious about enrolling and need assistance.</w:t>
      </w:r>
    </w:p>
    <w:p w14:paraId="66752733" w14:textId="0227356A" w:rsidR="001D3125" w:rsidRPr="001D3125" w:rsidRDefault="001D3125" w:rsidP="00671A04">
      <w:pPr>
        <w:pStyle w:val="CRCCLHeadings"/>
        <w:numPr>
          <w:ilvl w:val="0"/>
          <w:numId w:val="6"/>
        </w:numPr>
        <w:rPr>
          <w:rFonts w:ascii="Open Sans" w:hAnsi="Open Sans" w:cs="Open Sans"/>
          <w:b/>
          <w:bCs/>
          <w:sz w:val="24"/>
          <w:szCs w:val="24"/>
        </w:rPr>
      </w:pPr>
      <w:r w:rsidRPr="001D3125">
        <w:rPr>
          <w:rFonts w:ascii="Open Sans" w:hAnsi="Open Sans" w:cs="Open Sans"/>
          <w:b/>
          <w:bCs/>
          <w:sz w:val="24"/>
          <w:szCs w:val="24"/>
        </w:rPr>
        <w:t>Finance and Administration</w:t>
      </w:r>
    </w:p>
    <w:p w14:paraId="376DC338" w14:textId="77777777" w:rsidR="001D3125" w:rsidRPr="001D3125" w:rsidRDefault="001D3125" w:rsidP="001D3125">
      <w:pPr>
        <w:pStyle w:val="CRCCLHeadings"/>
        <w:numPr>
          <w:ilvl w:val="0"/>
          <w:numId w:val="4"/>
        </w:numPr>
        <w:rPr>
          <w:rFonts w:ascii="Open Sans" w:hAnsi="Open Sans" w:cs="Open Sans"/>
          <w:sz w:val="24"/>
          <w:szCs w:val="24"/>
        </w:rPr>
      </w:pPr>
      <w:r w:rsidRPr="001D3125">
        <w:rPr>
          <w:rFonts w:ascii="Open Sans" w:hAnsi="Open Sans" w:cs="Open Sans"/>
          <w:b/>
          <w:bCs/>
          <w:sz w:val="24"/>
          <w:szCs w:val="24"/>
        </w:rPr>
        <w:t>Lag Indicators:</w:t>
      </w:r>
    </w:p>
    <w:p w14:paraId="08E70035"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Budget Surplus/Deficit:</w:t>
      </w:r>
      <w:r w:rsidRPr="001D3125">
        <w:rPr>
          <w:rFonts w:ascii="Open Sans" w:hAnsi="Open Sans" w:cs="Open Sans"/>
          <w:sz w:val="24"/>
          <w:szCs w:val="24"/>
        </w:rPr>
        <w:t xml:space="preserve"> Overall financial health of the college.</w:t>
      </w:r>
    </w:p>
    <w:p w14:paraId="20FFA1F6"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lastRenderedPageBreak/>
        <w:t>Endowment Growth:</w:t>
      </w:r>
      <w:r w:rsidRPr="001D3125">
        <w:rPr>
          <w:rFonts w:ascii="Open Sans" w:hAnsi="Open Sans" w:cs="Open Sans"/>
          <w:sz w:val="24"/>
          <w:szCs w:val="24"/>
        </w:rPr>
        <w:t xml:space="preserve"> Long-term financial stability.</w:t>
      </w:r>
    </w:p>
    <w:p w14:paraId="1982A4BF"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Audit Findings:</w:t>
      </w:r>
      <w:r w:rsidRPr="001D3125">
        <w:rPr>
          <w:rFonts w:ascii="Open Sans" w:hAnsi="Open Sans" w:cs="Open Sans"/>
          <w:sz w:val="24"/>
          <w:szCs w:val="24"/>
        </w:rPr>
        <w:t xml:space="preserve"> Compliance and financial accountability.</w:t>
      </w:r>
    </w:p>
    <w:p w14:paraId="43F6F3C0"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Employee Satisfaction Rates (Surveys):</w:t>
      </w:r>
      <w:r w:rsidRPr="001D3125">
        <w:rPr>
          <w:rFonts w:ascii="Open Sans" w:hAnsi="Open Sans" w:cs="Open Sans"/>
          <w:sz w:val="24"/>
          <w:szCs w:val="24"/>
        </w:rPr>
        <w:t xml:space="preserve"> Overall morale and satisfaction of faculty and staff.</w:t>
      </w:r>
    </w:p>
    <w:p w14:paraId="73F1E7B6" w14:textId="77777777" w:rsidR="001D3125" w:rsidRPr="001D3125" w:rsidRDefault="001D3125" w:rsidP="001D3125">
      <w:pPr>
        <w:pStyle w:val="CRCCLHeadings"/>
        <w:numPr>
          <w:ilvl w:val="0"/>
          <w:numId w:val="4"/>
        </w:numPr>
        <w:rPr>
          <w:rFonts w:ascii="Open Sans" w:hAnsi="Open Sans" w:cs="Open Sans"/>
          <w:sz w:val="24"/>
          <w:szCs w:val="24"/>
        </w:rPr>
      </w:pPr>
      <w:r w:rsidRPr="001D3125">
        <w:rPr>
          <w:rFonts w:ascii="Open Sans" w:hAnsi="Open Sans" w:cs="Open Sans"/>
          <w:b/>
          <w:bCs/>
          <w:sz w:val="24"/>
          <w:szCs w:val="24"/>
        </w:rPr>
        <w:t>Lead Indicators:</w:t>
      </w:r>
    </w:p>
    <w:p w14:paraId="22531E97"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Timeliness and Accuracy of Budget Reporting:</w:t>
      </w:r>
      <w:r w:rsidRPr="001D3125">
        <w:rPr>
          <w:rFonts w:ascii="Open Sans" w:hAnsi="Open Sans" w:cs="Open Sans"/>
          <w:sz w:val="24"/>
          <w:szCs w:val="24"/>
        </w:rPr>
        <w:t xml:space="preserve"> Predicts potential financial issues early on.</w:t>
      </w:r>
    </w:p>
    <w:p w14:paraId="69C948DD" w14:textId="69BD4F4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Grant Application</w:t>
      </w:r>
      <w:r w:rsidR="00671A04">
        <w:rPr>
          <w:rFonts w:ascii="Open Sans" w:hAnsi="Open Sans" w:cs="Open Sans"/>
          <w:b/>
          <w:bCs/>
          <w:sz w:val="24"/>
          <w:szCs w:val="24"/>
        </w:rPr>
        <w:t>s</w:t>
      </w:r>
      <w:r w:rsidRPr="001D3125">
        <w:rPr>
          <w:rFonts w:ascii="Open Sans" w:hAnsi="Open Sans" w:cs="Open Sans"/>
          <w:b/>
          <w:bCs/>
          <w:sz w:val="24"/>
          <w:szCs w:val="24"/>
        </w:rPr>
        <w:t>:</w:t>
      </w:r>
      <w:r w:rsidRPr="001D3125">
        <w:rPr>
          <w:rFonts w:ascii="Open Sans" w:hAnsi="Open Sans" w:cs="Open Sans"/>
          <w:sz w:val="24"/>
          <w:szCs w:val="24"/>
        </w:rPr>
        <w:t xml:space="preserve"> Future funding opportunities.</w:t>
      </w:r>
    </w:p>
    <w:p w14:paraId="69FD4776"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Fundraising Activity (e.g., Number of Donor Contacts, Proposals Submitted):</w:t>
      </w:r>
      <w:r w:rsidRPr="001D3125">
        <w:rPr>
          <w:rFonts w:ascii="Open Sans" w:hAnsi="Open Sans" w:cs="Open Sans"/>
          <w:sz w:val="24"/>
          <w:szCs w:val="24"/>
        </w:rPr>
        <w:t xml:space="preserve"> Predicts future donations.</w:t>
      </w:r>
    </w:p>
    <w:p w14:paraId="34AB5967"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Resource Utilization Rates (e.g., Classroom Occupancy, Facility Usage):</w:t>
      </w:r>
      <w:r w:rsidRPr="001D3125">
        <w:rPr>
          <w:rFonts w:ascii="Open Sans" w:hAnsi="Open Sans" w:cs="Open Sans"/>
          <w:sz w:val="24"/>
          <w:szCs w:val="24"/>
        </w:rPr>
        <w:t xml:space="preserve"> Efficiency of asset management.</w:t>
      </w:r>
    </w:p>
    <w:p w14:paraId="2C918E99"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Employee Training and Development Participation:</w:t>
      </w:r>
      <w:r w:rsidRPr="001D3125">
        <w:rPr>
          <w:rFonts w:ascii="Open Sans" w:hAnsi="Open Sans" w:cs="Open Sans"/>
          <w:sz w:val="24"/>
          <w:szCs w:val="24"/>
        </w:rPr>
        <w:t xml:space="preserve"> Investment in human capital, potentially leading to higher efficiency and satisfaction.</w:t>
      </w:r>
    </w:p>
    <w:p w14:paraId="671856AD" w14:textId="77777777" w:rsidR="001D3125" w:rsidRPr="001D3125" w:rsidRDefault="001D3125" w:rsidP="001D3125">
      <w:pPr>
        <w:pStyle w:val="CRCCLHeadings"/>
        <w:numPr>
          <w:ilvl w:val="1"/>
          <w:numId w:val="4"/>
        </w:numPr>
        <w:rPr>
          <w:rFonts w:ascii="Open Sans" w:hAnsi="Open Sans" w:cs="Open Sans"/>
          <w:sz w:val="24"/>
          <w:szCs w:val="24"/>
        </w:rPr>
      </w:pPr>
      <w:r w:rsidRPr="001D3125">
        <w:rPr>
          <w:rFonts w:ascii="Open Sans" w:hAnsi="Open Sans" w:cs="Open Sans"/>
          <w:b/>
          <w:bCs/>
          <w:sz w:val="24"/>
          <w:szCs w:val="24"/>
        </w:rPr>
        <w:t>Implementation of Cost-Saving Initiatives:</w:t>
      </w:r>
      <w:r w:rsidRPr="001D3125">
        <w:rPr>
          <w:rFonts w:ascii="Open Sans" w:hAnsi="Open Sans" w:cs="Open Sans"/>
          <w:sz w:val="24"/>
          <w:szCs w:val="24"/>
        </w:rPr>
        <w:t xml:space="preserve"> </w:t>
      </w:r>
      <w:proofErr w:type="gramStart"/>
      <w:r w:rsidRPr="001D3125">
        <w:rPr>
          <w:rFonts w:ascii="Open Sans" w:hAnsi="Open Sans" w:cs="Open Sans"/>
          <w:sz w:val="24"/>
          <w:szCs w:val="24"/>
        </w:rPr>
        <w:t>Predicts</w:t>
      </w:r>
      <w:proofErr w:type="gramEnd"/>
      <w:r w:rsidRPr="001D3125">
        <w:rPr>
          <w:rFonts w:ascii="Open Sans" w:hAnsi="Open Sans" w:cs="Open Sans"/>
          <w:sz w:val="24"/>
          <w:szCs w:val="24"/>
        </w:rPr>
        <w:t xml:space="preserve"> future budget improvements.</w:t>
      </w:r>
    </w:p>
    <w:p w14:paraId="2BC2158C" w14:textId="599C9263" w:rsidR="001D3125" w:rsidRPr="001D3125" w:rsidRDefault="001D3125" w:rsidP="00671A04">
      <w:pPr>
        <w:pStyle w:val="CRCCLHeadings"/>
        <w:numPr>
          <w:ilvl w:val="0"/>
          <w:numId w:val="6"/>
        </w:numPr>
        <w:rPr>
          <w:rFonts w:ascii="Open Sans" w:hAnsi="Open Sans" w:cs="Open Sans"/>
          <w:b/>
          <w:bCs/>
          <w:sz w:val="24"/>
          <w:szCs w:val="24"/>
        </w:rPr>
      </w:pPr>
      <w:r w:rsidRPr="001D3125">
        <w:rPr>
          <w:rFonts w:ascii="Open Sans" w:hAnsi="Open Sans" w:cs="Open Sans"/>
          <w:b/>
          <w:bCs/>
          <w:sz w:val="24"/>
          <w:szCs w:val="24"/>
        </w:rPr>
        <w:t>Workforce Development/Continuing Education</w:t>
      </w:r>
    </w:p>
    <w:p w14:paraId="4FC16883" w14:textId="77777777" w:rsidR="001D3125" w:rsidRPr="001D3125" w:rsidRDefault="001D3125" w:rsidP="001D3125">
      <w:pPr>
        <w:pStyle w:val="CRCCLHeadings"/>
        <w:numPr>
          <w:ilvl w:val="0"/>
          <w:numId w:val="5"/>
        </w:numPr>
        <w:rPr>
          <w:rFonts w:ascii="Open Sans" w:hAnsi="Open Sans" w:cs="Open Sans"/>
          <w:sz w:val="24"/>
          <w:szCs w:val="24"/>
        </w:rPr>
      </w:pPr>
      <w:r w:rsidRPr="001D3125">
        <w:rPr>
          <w:rFonts w:ascii="Open Sans" w:hAnsi="Open Sans" w:cs="Open Sans"/>
          <w:b/>
          <w:bCs/>
          <w:sz w:val="24"/>
          <w:szCs w:val="24"/>
        </w:rPr>
        <w:t>Lag Indicators:</w:t>
      </w:r>
    </w:p>
    <w:p w14:paraId="49D33C76" w14:textId="77777777" w:rsidR="001D3125" w:rsidRPr="001D3125" w:rsidRDefault="001D3125" w:rsidP="001D3125">
      <w:pPr>
        <w:pStyle w:val="CRCCLHeadings"/>
        <w:numPr>
          <w:ilvl w:val="1"/>
          <w:numId w:val="5"/>
        </w:numPr>
        <w:rPr>
          <w:rFonts w:ascii="Open Sans" w:hAnsi="Open Sans" w:cs="Open Sans"/>
          <w:sz w:val="24"/>
          <w:szCs w:val="24"/>
        </w:rPr>
      </w:pPr>
      <w:r w:rsidRPr="001D3125">
        <w:rPr>
          <w:rFonts w:ascii="Open Sans" w:hAnsi="Open Sans" w:cs="Open Sans"/>
          <w:b/>
          <w:bCs/>
          <w:sz w:val="24"/>
          <w:szCs w:val="24"/>
        </w:rPr>
        <w:t>Number of Participants Completing Programs/Courses:</w:t>
      </w:r>
      <w:r w:rsidRPr="001D3125">
        <w:rPr>
          <w:rFonts w:ascii="Open Sans" w:hAnsi="Open Sans" w:cs="Open Sans"/>
          <w:sz w:val="24"/>
          <w:szCs w:val="24"/>
        </w:rPr>
        <w:t xml:space="preserve"> Success of training initiatives.</w:t>
      </w:r>
    </w:p>
    <w:p w14:paraId="47C350A9" w14:textId="77777777" w:rsidR="001D3125" w:rsidRPr="001D3125" w:rsidRDefault="001D3125" w:rsidP="001D3125">
      <w:pPr>
        <w:pStyle w:val="CRCCLHeadings"/>
        <w:numPr>
          <w:ilvl w:val="1"/>
          <w:numId w:val="5"/>
        </w:numPr>
        <w:rPr>
          <w:rFonts w:ascii="Open Sans" w:hAnsi="Open Sans" w:cs="Open Sans"/>
          <w:sz w:val="24"/>
          <w:szCs w:val="24"/>
        </w:rPr>
      </w:pPr>
      <w:r w:rsidRPr="001D3125">
        <w:rPr>
          <w:rFonts w:ascii="Open Sans" w:hAnsi="Open Sans" w:cs="Open Sans"/>
          <w:b/>
          <w:bCs/>
          <w:sz w:val="24"/>
          <w:szCs w:val="24"/>
        </w:rPr>
        <w:t>Job Placement Rates of Program Completers:</w:t>
      </w:r>
      <w:r w:rsidRPr="001D3125">
        <w:rPr>
          <w:rFonts w:ascii="Open Sans" w:hAnsi="Open Sans" w:cs="Open Sans"/>
          <w:sz w:val="24"/>
          <w:szCs w:val="24"/>
        </w:rPr>
        <w:t xml:space="preserve"> Effectiveness in preparing individuals for employment.</w:t>
      </w:r>
    </w:p>
    <w:p w14:paraId="2AFA3C69" w14:textId="77777777" w:rsidR="001D3125" w:rsidRPr="001D3125" w:rsidRDefault="001D3125" w:rsidP="001D3125">
      <w:pPr>
        <w:pStyle w:val="CRCCLHeadings"/>
        <w:numPr>
          <w:ilvl w:val="1"/>
          <w:numId w:val="5"/>
        </w:numPr>
        <w:rPr>
          <w:rFonts w:ascii="Open Sans" w:hAnsi="Open Sans" w:cs="Open Sans"/>
          <w:sz w:val="24"/>
          <w:szCs w:val="24"/>
        </w:rPr>
      </w:pPr>
      <w:r w:rsidRPr="001D3125">
        <w:rPr>
          <w:rFonts w:ascii="Open Sans" w:hAnsi="Open Sans" w:cs="Open Sans"/>
          <w:b/>
          <w:bCs/>
          <w:sz w:val="24"/>
          <w:szCs w:val="24"/>
        </w:rPr>
        <w:t>Revenue Generated from Programs:</w:t>
      </w:r>
      <w:r w:rsidRPr="001D3125">
        <w:rPr>
          <w:rFonts w:ascii="Open Sans" w:hAnsi="Open Sans" w:cs="Open Sans"/>
          <w:sz w:val="24"/>
          <w:szCs w:val="24"/>
        </w:rPr>
        <w:t xml:space="preserve"> Financial sustainability of the department.</w:t>
      </w:r>
    </w:p>
    <w:p w14:paraId="5CEC59E4" w14:textId="77777777" w:rsidR="001D3125" w:rsidRPr="001D3125" w:rsidRDefault="001D3125" w:rsidP="001D3125">
      <w:pPr>
        <w:pStyle w:val="CRCCLHeadings"/>
        <w:numPr>
          <w:ilvl w:val="1"/>
          <w:numId w:val="5"/>
        </w:numPr>
        <w:rPr>
          <w:rFonts w:ascii="Open Sans" w:hAnsi="Open Sans" w:cs="Open Sans"/>
          <w:sz w:val="24"/>
          <w:szCs w:val="24"/>
        </w:rPr>
      </w:pPr>
      <w:r w:rsidRPr="001D3125">
        <w:rPr>
          <w:rFonts w:ascii="Open Sans" w:hAnsi="Open Sans" w:cs="Open Sans"/>
          <w:b/>
          <w:bCs/>
          <w:sz w:val="24"/>
          <w:szCs w:val="24"/>
        </w:rPr>
        <w:t>Employer Satisfaction with Training Outcomes (Surveys):</w:t>
      </w:r>
      <w:r w:rsidRPr="001D3125">
        <w:rPr>
          <w:rFonts w:ascii="Open Sans" w:hAnsi="Open Sans" w:cs="Open Sans"/>
          <w:sz w:val="24"/>
          <w:szCs w:val="24"/>
        </w:rPr>
        <w:t xml:space="preserve"> Relevance and quality of programs for the local workforce.</w:t>
      </w:r>
    </w:p>
    <w:p w14:paraId="7241602F" w14:textId="77777777" w:rsidR="001D3125" w:rsidRPr="001D3125" w:rsidRDefault="001D3125" w:rsidP="001D3125">
      <w:pPr>
        <w:pStyle w:val="CRCCLHeadings"/>
        <w:numPr>
          <w:ilvl w:val="0"/>
          <w:numId w:val="5"/>
        </w:numPr>
        <w:rPr>
          <w:rFonts w:ascii="Open Sans" w:hAnsi="Open Sans" w:cs="Open Sans"/>
          <w:sz w:val="24"/>
          <w:szCs w:val="24"/>
        </w:rPr>
      </w:pPr>
      <w:r w:rsidRPr="001D3125">
        <w:rPr>
          <w:rFonts w:ascii="Open Sans" w:hAnsi="Open Sans" w:cs="Open Sans"/>
          <w:b/>
          <w:bCs/>
          <w:sz w:val="24"/>
          <w:szCs w:val="24"/>
        </w:rPr>
        <w:t>Lead Indicators:</w:t>
      </w:r>
    </w:p>
    <w:p w14:paraId="01DA2FB4" w14:textId="77777777" w:rsidR="001D3125" w:rsidRPr="001D3125" w:rsidRDefault="001D3125" w:rsidP="001D3125">
      <w:pPr>
        <w:pStyle w:val="CRCCLHeadings"/>
        <w:numPr>
          <w:ilvl w:val="1"/>
          <w:numId w:val="5"/>
        </w:numPr>
        <w:rPr>
          <w:rFonts w:ascii="Open Sans" w:hAnsi="Open Sans" w:cs="Open Sans"/>
          <w:sz w:val="24"/>
          <w:szCs w:val="24"/>
        </w:rPr>
      </w:pPr>
      <w:r w:rsidRPr="001D3125">
        <w:rPr>
          <w:rFonts w:ascii="Open Sans" w:hAnsi="Open Sans" w:cs="Open Sans"/>
          <w:b/>
          <w:bCs/>
          <w:sz w:val="24"/>
          <w:szCs w:val="24"/>
        </w:rPr>
        <w:t>Marketing and Outreach Activity (e.g., Number of Businesses Contacted):</w:t>
      </w:r>
      <w:r w:rsidRPr="001D3125">
        <w:rPr>
          <w:rFonts w:ascii="Open Sans" w:hAnsi="Open Sans" w:cs="Open Sans"/>
          <w:sz w:val="24"/>
          <w:szCs w:val="24"/>
        </w:rPr>
        <w:t xml:space="preserve"> Efforts to attract participants and </w:t>
      </w:r>
      <w:proofErr w:type="gramStart"/>
      <w:r w:rsidRPr="001D3125">
        <w:rPr>
          <w:rFonts w:ascii="Open Sans" w:hAnsi="Open Sans" w:cs="Open Sans"/>
          <w:sz w:val="24"/>
          <w:szCs w:val="24"/>
        </w:rPr>
        <w:t>employers</w:t>
      </w:r>
      <w:proofErr w:type="gramEnd"/>
      <w:r w:rsidRPr="001D3125">
        <w:rPr>
          <w:rFonts w:ascii="Open Sans" w:hAnsi="Open Sans" w:cs="Open Sans"/>
          <w:sz w:val="24"/>
          <w:szCs w:val="24"/>
        </w:rPr>
        <w:t>.</w:t>
      </w:r>
    </w:p>
    <w:p w14:paraId="2A64B574" w14:textId="77777777" w:rsidR="001D3125" w:rsidRPr="001D3125" w:rsidRDefault="001D3125" w:rsidP="001D3125">
      <w:pPr>
        <w:pStyle w:val="CRCCLHeadings"/>
        <w:numPr>
          <w:ilvl w:val="1"/>
          <w:numId w:val="5"/>
        </w:numPr>
        <w:rPr>
          <w:rFonts w:ascii="Open Sans" w:hAnsi="Open Sans" w:cs="Open Sans"/>
          <w:sz w:val="24"/>
          <w:szCs w:val="24"/>
        </w:rPr>
      </w:pPr>
      <w:r w:rsidRPr="001D3125">
        <w:rPr>
          <w:rFonts w:ascii="Open Sans" w:hAnsi="Open Sans" w:cs="Open Sans"/>
          <w:b/>
          <w:bCs/>
          <w:sz w:val="24"/>
          <w:szCs w:val="24"/>
        </w:rPr>
        <w:t>Curriculum Development Based on Industry Needs:</w:t>
      </w:r>
      <w:r w:rsidRPr="001D3125">
        <w:rPr>
          <w:rFonts w:ascii="Open Sans" w:hAnsi="Open Sans" w:cs="Open Sans"/>
          <w:sz w:val="24"/>
          <w:szCs w:val="24"/>
        </w:rPr>
        <w:t xml:space="preserve"> Relevance of programs to the local job market.</w:t>
      </w:r>
    </w:p>
    <w:p w14:paraId="7491EB4C" w14:textId="5F21E4D1" w:rsidR="001D3125" w:rsidRDefault="00671A04" w:rsidP="001D3125">
      <w:pPr>
        <w:pStyle w:val="CRCCLHeadings"/>
        <w:numPr>
          <w:ilvl w:val="1"/>
          <w:numId w:val="5"/>
        </w:numPr>
        <w:rPr>
          <w:rFonts w:ascii="Open Sans" w:hAnsi="Open Sans" w:cs="Open Sans"/>
          <w:sz w:val="24"/>
          <w:szCs w:val="24"/>
        </w:rPr>
      </w:pPr>
      <w:proofErr w:type="spellStart"/>
      <w:r>
        <w:rPr>
          <w:rFonts w:ascii="Open Sans" w:hAnsi="Open Sans" w:cs="Open Sans"/>
          <w:b/>
          <w:bCs/>
          <w:sz w:val="24"/>
          <w:szCs w:val="24"/>
        </w:rPr>
        <w:t>Meetings</w:t>
      </w:r>
      <w:r w:rsidR="001D3125" w:rsidRPr="001D3125">
        <w:rPr>
          <w:rFonts w:ascii="Open Sans" w:hAnsi="Open Sans" w:cs="Open Sans"/>
          <w:b/>
          <w:bCs/>
          <w:sz w:val="24"/>
          <w:szCs w:val="24"/>
        </w:rPr>
        <w:t>s</w:t>
      </w:r>
      <w:proofErr w:type="spellEnd"/>
      <w:r w:rsidR="001D3125" w:rsidRPr="001D3125">
        <w:rPr>
          <w:rFonts w:ascii="Open Sans" w:hAnsi="Open Sans" w:cs="Open Sans"/>
          <w:b/>
          <w:bCs/>
          <w:sz w:val="24"/>
          <w:szCs w:val="24"/>
        </w:rPr>
        <w:t xml:space="preserve"> with Local Businesses and Organizations:</w:t>
      </w:r>
      <w:r w:rsidR="001D3125" w:rsidRPr="001D3125">
        <w:rPr>
          <w:rFonts w:ascii="Open Sans" w:hAnsi="Open Sans" w:cs="Open Sans"/>
          <w:sz w:val="24"/>
          <w:szCs w:val="24"/>
        </w:rPr>
        <w:t xml:space="preserve"> Potential for increased enrollment and job placement opportunities.</w:t>
      </w:r>
    </w:p>
    <w:p w14:paraId="5CD544DF" w14:textId="77777777" w:rsidR="00671A04" w:rsidRPr="001D3125" w:rsidRDefault="00671A04" w:rsidP="00671A04">
      <w:pPr>
        <w:pStyle w:val="CRCCLHeadings"/>
        <w:ind w:left="1440"/>
        <w:rPr>
          <w:rFonts w:ascii="Open Sans" w:hAnsi="Open Sans" w:cs="Open Sans"/>
          <w:sz w:val="24"/>
          <w:szCs w:val="24"/>
        </w:rPr>
      </w:pPr>
    </w:p>
    <w:p w14:paraId="25075720" w14:textId="77777777" w:rsidR="001D3125" w:rsidRPr="001D3125" w:rsidRDefault="001D3125" w:rsidP="001D3125">
      <w:pPr>
        <w:pStyle w:val="CRCCLHeadings"/>
        <w:rPr>
          <w:rFonts w:ascii="Open Sans" w:hAnsi="Open Sans" w:cs="Open Sans"/>
          <w:sz w:val="24"/>
          <w:szCs w:val="24"/>
        </w:rPr>
      </w:pPr>
      <w:r w:rsidRPr="001D3125">
        <w:rPr>
          <w:rFonts w:ascii="Open Sans" w:hAnsi="Open Sans" w:cs="Open Sans"/>
          <w:sz w:val="24"/>
          <w:szCs w:val="24"/>
        </w:rPr>
        <w:t>By monitoring a combination of these lead and lag indicators, the rural community college can gain a comprehensive understanding of its performance, proactively address potential challenges, and make data-informed decisions to better serve its students and the community. Remember that the specific indicators that are most relevant will depend on the college's unique mission, goals, and the characteristics of the rural community it serves.</w:t>
      </w:r>
    </w:p>
    <w:p w14:paraId="248A5DAE" w14:textId="77777777" w:rsidR="001D3125" w:rsidRPr="001D3125" w:rsidRDefault="001D3125" w:rsidP="001D3125">
      <w:pPr>
        <w:pStyle w:val="CRCCLHeadings"/>
        <w:rPr>
          <w:rFonts w:ascii="Open Sans" w:hAnsi="Open Sans" w:cs="Open Sans"/>
          <w:sz w:val="24"/>
          <w:szCs w:val="24"/>
        </w:rPr>
      </w:pPr>
    </w:p>
    <w:p w14:paraId="16D7C075" w14:textId="77777777" w:rsidR="009E361D" w:rsidRPr="009E361D" w:rsidRDefault="009E361D" w:rsidP="009E361D">
      <w:pPr>
        <w:pStyle w:val="CRCCL"/>
      </w:pPr>
    </w:p>
    <w:sectPr w:rsidR="009E361D" w:rsidRPr="009E361D" w:rsidSect="00671A0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A43B9"/>
    <w:multiLevelType w:val="hybridMultilevel"/>
    <w:tmpl w:val="BA36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125DC"/>
    <w:multiLevelType w:val="hybridMultilevel"/>
    <w:tmpl w:val="41E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77163"/>
    <w:multiLevelType w:val="hybridMultilevel"/>
    <w:tmpl w:val="F13E6878"/>
    <w:lvl w:ilvl="0" w:tplc="3EA246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25790"/>
    <w:multiLevelType w:val="multilevel"/>
    <w:tmpl w:val="E798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545CE"/>
    <w:multiLevelType w:val="multilevel"/>
    <w:tmpl w:val="78F25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C75EE"/>
    <w:multiLevelType w:val="hybridMultilevel"/>
    <w:tmpl w:val="91E6CCFE"/>
    <w:lvl w:ilvl="0" w:tplc="A2E4B5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7B079C"/>
    <w:multiLevelType w:val="multilevel"/>
    <w:tmpl w:val="52F6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4584D"/>
    <w:multiLevelType w:val="multilevel"/>
    <w:tmpl w:val="9DF68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85035"/>
    <w:multiLevelType w:val="multilevel"/>
    <w:tmpl w:val="6BA89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011791">
    <w:abstractNumId w:val="7"/>
  </w:num>
  <w:num w:numId="2" w16cid:durableId="1303660150">
    <w:abstractNumId w:val="6"/>
  </w:num>
  <w:num w:numId="3" w16cid:durableId="1754737932">
    <w:abstractNumId w:val="8"/>
  </w:num>
  <w:num w:numId="4" w16cid:durableId="80566416">
    <w:abstractNumId w:val="4"/>
  </w:num>
  <w:num w:numId="5" w16cid:durableId="1837577009">
    <w:abstractNumId w:val="3"/>
  </w:num>
  <w:num w:numId="6" w16cid:durableId="2028408504">
    <w:abstractNumId w:val="5"/>
  </w:num>
  <w:num w:numId="7" w16cid:durableId="2018118760">
    <w:abstractNumId w:val="0"/>
  </w:num>
  <w:num w:numId="8" w16cid:durableId="2050761310">
    <w:abstractNumId w:val="2"/>
  </w:num>
  <w:num w:numId="9" w16cid:durableId="69423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D"/>
    <w:rsid w:val="00194ECE"/>
    <w:rsid w:val="001D3125"/>
    <w:rsid w:val="002D04E5"/>
    <w:rsid w:val="00331D32"/>
    <w:rsid w:val="00337394"/>
    <w:rsid w:val="00671A04"/>
    <w:rsid w:val="009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E44B"/>
  <w15:chartTrackingRefBased/>
  <w15:docId w15:val="{D291371C-ABA5-4D03-A086-2C58C80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61D"/>
    <w:rPr>
      <w:rFonts w:eastAsiaTheme="majorEastAsia" w:cstheme="majorBidi"/>
      <w:color w:val="272727" w:themeColor="text1" w:themeTint="D8"/>
    </w:rPr>
  </w:style>
  <w:style w:type="paragraph" w:styleId="Title">
    <w:name w:val="Title"/>
    <w:basedOn w:val="Normal"/>
    <w:next w:val="Normal"/>
    <w:link w:val="TitleChar"/>
    <w:uiPriority w:val="10"/>
    <w:qFormat/>
    <w:rsid w:val="009E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61D"/>
    <w:pPr>
      <w:spacing w:before="160"/>
      <w:jc w:val="center"/>
    </w:pPr>
    <w:rPr>
      <w:i/>
      <w:iCs/>
      <w:color w:val="404040" w:themeColor="text1" w:themeTint="BF"/>
    </w:rPr>
  </w:style>
  <w:style w:type="character" w:customStyle="1" w:styleId="QuoteChar">
    <w:name w:val="Quote Char"/>
    <w:basedOn w:val="DefaultParagraphFont"/>
    <w:link w:val="Quote"/>
    <w:uiPriority w:val="29"/>
    <w:rsid w:val="009E361D"/>
    <w:rPr>
      <w:i/>
      <w:iCs/>
      <w:color w:val="404040" w:themeColor="text1" w:themeTint="BF"/>
    </w:rPr>
  </w:style>
  <w:style w:type="paragraph" w:styleId="ListParagraph">
    <w:name w:val="List Paragraph"/>
    <w:basedOn w:val="Normal"/>
    <w:uiPriority w:val="34"/>
    <w:qFormat/>
    <w:rsid w:val="009E361D"/>
    <w:pPr>
      <w:ind w:left="720"/>
      <w:contextualSpacing/>
    </w:pPr>
  </w:style>
  <w:style w:type="character" w:styleId="IntenseEmphasis">
    <w:name w:val="Intense Emphasis"/>
    <w:basedOn w:val="DefaultParagraphFont"/>
    <w:uiPriority w:val="21"/>
    <w:qFormat/>
    <w:rsid w:val="009E361D"/>
    <w:rPr>
      <w:i/>
      <w:iCs/>
      <w:color w:val="0F4761" w:themeColor="accent1" w:themeShade="BF"/>
    </w:rPr>
  </w:style>
  <w:style w:type="paragraph" w:styleId="IntenseQuote">
    <w:name w:val="Intense Quote"/>
    <w:basedOn w:val="Normal"/>
    <w:next w:val="Normal"/>
    <w:link w:val="IntenseQuoteChar"/>
    <w:uiPriority w:val="30"/>
    <w:qFormat/>
    <w:rsid w:val="009E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61D"/>
    <w:rPr>
      <w:i/>
      <w:iCs/>
      <w:color w:val="0F4761" w:themeColor="accent1" w:themeShade="BF"/>
    </w:rPr>
  </w:style>
  <w:style w:type="character" w:styleId="IntenseReference">
    <w:name w:val="Intense Reference"/>
    <w:basedOn w:val="DefaultParagraphFont"/>
    <w:uiPriority w:val="32"/>
    <w:qFormat/>
    <w:rsid w:val="009E361D"/>
    <w:rPr>
      <w:b/>
      <w:bCs/>
      <w:smallCaps/>
      <w:color w:val="0F4761" w:themeColor="accent1" w:themeShade="BF"/>
      <w:spacing w:val="5"/>
    </w:rPr>
  </w:style>
  <w:style w:type="paragraph" w:customStyle="1" w:styleId="CRCCL">
    <w:name w:val="CRCCL"/>
    <w:basedOn w:val="Normal"/>
    <w:link w:val="CRCCLChar"/>
    <w:qFormat/>
    <w:rsid w:val="009E361D"/>
    <w:rPr>
      <w:rFonts w:ascii="Open Sans" w:hAnsi="Open Sans"/>
    </w:rPr>
  </w:style>
  <w:style w:type="character" w:customStyle="1" w:styleId="CRCCLChar">
    <w:name w:val="CRCCL Char"/>
    <w:basedOn w:val="DefaultParagraphFont"/>
    <w:link w:val="CRCCL"/>
    <w:rsid w:val="009E361D"/>
    <w:rPr>
      <w:rFonts w:ascii="Open Sans" w:hAnsi="Open Sans"/>
    </w:rPr>
  </w:style>
  <w:style w:type="paragraph" w:customStyle="1" w:styleId="CRCCLHeadings">
    <w:name w:val="CRCCL Headings"/>
    <w:basedOn w:val="Title"/>
    <w:link w:val="CRCCLHeadingsChar"/>
    <w:qFormat/>
    <w:rsid w:val="009E361D"/>
    <w:rPr>
      <w:rFonts w:ascii="Montserrat" w:hAnsi="Montserrat"/>
    </w:rPr>
  </w:style>
  <w:style w:type="character" w:customStyle="1" w:styleId="CRCCLHeadingsChar">
    <w:name w:val="CRCCL Headings Char"/>
    <w:basedOn w:val="CRCCLChar"/>
    <w:link w:val="CRCCLHeadings"/>
    <w:rsid w:val="009E361D"/>
    <w:rPr>
      <w:rFonts w:ascii="Montserrat" w:eastAsiaTheme="majorEastAsia" w:hAnsi="Montserrat" w:cstheme="majorBidi"/>
      <w:spacing w:val="-10"/>
      <w:kern w:val="28"/>
      <w:sz w:val="56"/>
      <w:szCs w:val="56"/>
    </w:rPr>
  </w:style>
  <w:style w:type="character" w:styleId="Strong">
    <w:name w:val="Strong"/>
    <w:basedOn w:val="DefaultParagraphFont"/>
    <w:uiPriority w:val="22"/>
    <w:qFormat/>
    <w:rsid w:val="001D3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6589">
      <w:bodyDiv w:val="1"/>
      <w:marLeft w:val="0"/>
      <w:marRight w:val="0"/>
      <w:marTop w:val="0"/>
      <w:marBottom w:val="0"/>
      <w:divBdr>
        <w:top w:val="none" w:sz="0" w:space="0" w:color="auto"/>
        <w:left w:val="none" w:sz="0" w:space="0" w:color="auto"/>
        <w:bottom w:val="none" w:sz="0" w:space="0" w:color="auto"/>
        <w:right w:val="none" w:sz="0" w:space="0" w:color="auto"/>
      </w:divBdr>
    </w:div>
    <w:div w:id="433015697">
      <w:bodyDiv w:val="1"/>
      <w:marLeft w:val="0"/>
      <w:marRight w:val="0"/>
      <w:marTop w:val="0"/>
      <w:marBottom w:val="0"/>
      <w:divBdr>
        <w:top w:val="none" w:sz="0" w:space="0" w:color="auto"/>
        <w:left w:val="none" w:sz="0" w:space="0" w:color="auto"/>
        <w:bottom w:val="none" w:sz="0" w:space="0" w:color="auto"/>
        <w:right w:val="none" w:sz="0" w:space="0" w:color="auto"/>
      </w:divBdr>
    </w:div>
    <w:div w:id="551231009">
      <w:bodyDiv w:val="1"/>
      <w:marLeft w:val="0"/>
      <w:marRight w:val="0"/>
      <w:marTop w:val="0"/>
      <w:marBottom w:val="0"/>
      <w:divBdr>
        <w:top w:val="none" w:sz="0" w:space="0" w:color="auto"/>
        <w:left w:val="none" w:sz="0" w:space="0" w:color="auto"/>
        <w:bottom w:val="none" w:sz="0" w:space="0" w:color="auto"/>
        <w:right w:val="none" w:sz="0" w:space="0" w:color="auto"/>
      </w:divBdr>
    </w:div>
    <w:div w:id="11851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Long</dc:creator>
  <cp:keywords/>
  <dc:description/>
  <cp:lastModifiedBy>Andrew Long</cp:lastModifiedBy>
  <cp:revision>2</cp:revision>
  <dcterms:created xsi:type="dcterms:W3CDTF">2025-04-28T02:22:00Z</dcterms:created>
  <dcterms:modified xsi:type="dcterms:W3CDTF">2025-04-28T02:22:00Z</dcterms:modified>
</cp:coreProperties>
</file>